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847F9">
      <w:pPr>
        <w:pStyle w:val="2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10909300</wp:posOffset>
            </wp:positionV>
            <wp:extent cx="342900" cy="419100"/>
            <wp:effectExtent l="0" t="0" r="0" b="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机密</w:t>
      </w:r>
      <w:r>
        <w:rPr>
          <w:rFonts w:ascii="Segoe UI Symbol" w:hAnsi="Segoe UI Symbol" w:eastAsia="黑体" w:cs="Segoe UI Symbol"/>
        </w:rPr>
        <w:t>★</w:t>
      </w:r>
      <w:r>
        <w:rPr>
          <w:rFonts w:ascii="Times New Roman" w:hAnsi="Times New Roman" w:eastAsia="黑体" w:cs="Times New Roman"/>
        </w:rPr>
        <w:t>启用前                                                试卷类型A</w:t>
      </w:r>
    </w:p>
    <w:p w14:paraId="1AE09FF1">
      <w:pPr>
        <w:pStyle w:val="2"/>
        <w:ind w:firstLine="482" w:firstLineChars="200"/>
        <w:jc w:val="center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山东名校考试联盟</w:t>
      </w:r>
    </w:p>
    <w:p w14:paraId="23A77E44">
      <w:pPr>
        <w:pStyle w:val="2"/>
        <w:ind w:firstLine="482" w:firstLineChars="200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2025年2月高三开学联考</w:t>
      </w:r>
    </w:p>
    <w:p w14:paraId="244C0499">
      <w:pPr>
        <w:pStyle w:val="2"/>
        <w:ind w:firstLine="640" w:firstLineChars="200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ascii="黑体" w:hAnsi="黑体" w:eastAsia="黑体" w:cs="Times New Roman"/>
          <w:sz w:val="32"/>
          <w:szCs w:val="32"/>
        </w:rPr>
        <w:t>历 史 试 题</w:t>
      </w:r>
    </w:p>
    <w:p w14:paraId="5303CF0C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本试卷满分100分。考试用时90分钟</w:t>
      </w:r>
      <w:r>
        <w:rPr>
          <w:rFonts w:hint="eastAsia" w:ascii="Times New Roman" w:hAnsi="Times New Roman" w:eastAsia="宋体" w:cs="Times New Roman"/>
        </w:rPr>
        <w:t>。</w:t>
      </w:r>
    </w:p>
    <w:p w14:paraId="5F660895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注意事项：</w:t>
      </w:r>
    </w:p>
    <w:p w14:paraId="0EB7E85F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1．答题前，考生务必用0.5毫米黑色签字笔将自己的姓名、准考证号、座号填写在规定的位置上。</w:t>
      </w:r>
    </w:p>
    <w:p w14:paraId="2A21915A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2．回答选择题时，用2B铅笔把答题卡上对应题目的答案标号涂黑，如需改动，用橡皮擦干净后，再选涂其他答案标号。</w:t>
      </w:r>
    </w:p>
    <w:p w14:paraId="311A76FF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．回答非选择题时，必须用0.5毫米黑色签字笔作答(作图除外)，答案必须写在答题卡各题目指定区域内相应的位置；如需改动，先划掉原来的答案，然后再写上新的答案，不能使用涂改液、胶带纸、修正带和其他笔。</w:t>
      </w:r>
    </w:p>
    <w:p w14:paraId="1F49AEA7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　　　　　　　　　　　　　　　　　　　　　　　　　　　</w:t>
      </w:r>
    </w:p>
    <w:p w14:paraId="55EC0E7C">
      <w:pPr>
        <w:pStyle w:val="2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一、选择题：本大题共15小题，每小题3分，共45分。在每小题列出的四个选项中，只有一个是符合题目要求的。</w:t>
      </w:r>
    </w:p>
    <w:p w14:paraId="1EBE03AF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1．龙山文化代表陶寺遗址考古发现，蟠龙纹陶盘、鼍鼓、特罄只见于大型墓中，朱绘大口罐在大型墓中用四件，而中型墓只能用两件。可见当时</w:t>
      </w:r>
    </w:p>
    <w:p w14:paraId="42BFD306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A．贫富层级已经极为细致    B．具备了国家的初始形态</w:t>
      </w:r>
    </w:p>
    <w:p w14:paraId="540ABDF7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C．时人墓葬理念存在差异    D. 社会初步形成礼法等级</w:t>
      </w:r>
    </w:p>
    <w:p w14:paraId="0BF837BF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2．图1为《汉书·卜式传》中的相关记载。卜式的经历反映出汉代</w:t>
      </w:r>
    </w:p>
    <w:tbl>
      <w:tblPr>
        <w:tblStyle w:val="5"/>
        <w:tblW w:w="75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3"/>
      </w:tblGrid>
      <w:tr w14:paraId="60BF1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3" w:type="dxa"/>
            <w:shd w:val="clear" w:color="auto" w:fill="auto"/>
            <w:vAlign w:val="center"/>
          </w:tcPr>
          <w:p w14:paraId="6B210701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　　卜式，河南人，以田畜为事。元狩二年，式入财二十万助国，被武帝拜为中郎，布告天下，尊显以风百姓。元鼎六年，式为御史大夫，言</w:t>
            </w:r>
            <w:r>
              <w:rPr>
                <w:rFonts w:hint="eastAsia" w:ascii="宋体" w:hAnsi="宋体" w:eastAsia="宋体" w:cs="Times New Roman"/>
              </w:rPr>
              <w:t>“</w:t>
            </w:r>
            <w:r>
              <w:rPr>
                <w:rFonts w:hint="eastAsia" w:ascii="Times New Roman" w:hAnsi="Times New Roman" w:eastAsia="宋体" w:cs="Times New Roman"/>
              </w:rPr>
              <w:t>郡国不便盐铁而船有算，可罢。</w:t>
            </w:r>
            <w:r>
              <w:rPr>
                <w:rFonts w:hint="eastAsia" w:ascii="宋体" w:hAnsi="宋体" w:eastAsia="宋体" w:cs="Times New Roman"/>
              </w:rPr>
              <w:t>”</w:t>
            </w:r>
            <w:r>
              <w:rPr>
                <w:rFonts w:hint="eastAsia" w:ascii="Times New Roman" w:hAnsi="Times New Roman" w:eastAsia="宋体" w:cs="Times New Roman"/>
              </w:rPr>
              <w:t>上由是不说式，贬其为太子太傅。后式以寿终。</w:t>
            </w:r>
          </w:p>
        </w:tc>
      </w:tr>
    </w:tbl>
    <w:p w14:paraId="55AC16FB">
      <w:pPr>
        <w:pStyle w:val="2"/>
        <w:ind w:firstLine="420" w:firstLineChars="200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图1</w:t>
      </w:r>
    </w:p>
    <w:p w14:paraId="33FDFCEB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A．商人社会地位提高        B．国家政策因时而变</w:t>
      </w:r>
    </w:p>
    <w:p w14:paraId="20B9E625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C．经济环境逐步宽松        D．儒学成为正统思想</w:t>
      </w:r>
    </w:p>
    <w:p w14:paraId="7FB51E10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3．唐代，门下省给事中执掌封驳。《贞观政要》记载：贞观三年(629)，太宗谓侍臣曰：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诏敕如有不稳便，皆须执论。</w:t>
      </w:r>
      <w:r>
        <w:rPr>
          <w:rFonts w:ascii="宋体" w:hAnsi="宋体" w:eastAsia="宋体" w:cs="Times New Roman"/>
        </w:rPr>
        <w:t>……</w:t>
      </w:r>
      <w:r>
        <w:rPr>
          <w:rFonts w:ascii="Times New Roman" w:hAnsi="Times New Roman" w:eastAsia="宋体" w:cs="Times New Roman"/>
        </w:rPr>
        <w:t>自今诏敕疑有不稳便，必须执言，无得妄</w:t>
      </w:r>
      <w:r>
        <w:rPr>
          <w:rFonts w:hint="eastAsia" w:ascii="Times New Roman" w:hAnsi="Times New Roman" w:eastAsia="宋体" w:cs="Times New Roman"/>
        </w:rPr>
        <w:t>有畏惧，知而寝默。</w:t>
      </w:r>
      <w:r>
        <w:rPr>
          <w:rFonts w:hint="eastAsia" w:ascii="宋体" w:hAnsi="宋体" w:eastAsia="宋体" w:cs="Times New Roman"/>
        </w:rPr>
        <w:t>”</w:t>
      </w:r>
      <w:r>
        <w:rPr>
          <w:rFonts w:hint="eastAsia" w:ascii="Times New Roman" w:hAnsi="Times New Roman" w:eastAsia="宋体" w:cs="Times New Roman"/>
        </w:rPr>
        <w:t>这一要求旨在</w:t>
      </w:r>
    </w:p>
    <w:p w14:paraId="0BAB1748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提升官员政治意识        B．改变唐朝社会风气</w:t>
      </w:r>
    </w:p>
    <w:p w14:paraId="73D85494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C．提高政府决策效率        D．扩大监察谏政职能</w:t>
      </w:r>
    </w:p>
    <w:p w14:paraId="0407ED5F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4．宋代程颢、程颐兄弟所著的《二程外书》中记载：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立宗必有夺宗(变非大宗为大宗)法。如卑幼为大臣，以今之法，自合立庙，不可使从宗子(族长)以祭。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这反映了</w:t>
      </w:r>
    </w:p>
    <w:p w14:paraId="62E28BF5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A．血缘宗法观念的强化      B．地方治理脱节国家管理</w:t>
      </w:r>
    </w:p>
    <w:p w14:paraId="7BDB9DCC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C．皇权向基层宗法渗透      D．宗族内部权力分配调整</w:t>
      </w:r>
    </w:p>
    <w:p w14:paraId="2FEC1A9D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5．表1为1873－1903年间中国对外贸易中的棉花、棉纱与棉布的进出口统计。这表明</w:t>
      </w:r>
    </w:p>
    <w:p w14:paraId="6FFA22BA">
      <w:pPr>
        <w:pStyle w:val="2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表1</w:t>
      </w:r>
    </w:p>
    <w:tbl>
      <w:tblPr>
        <w:tblStyle w:val="5"/>
        <w:tblW w:w="75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2229"/>
        <w:gridCol w:w="2229"/>
        <w:gridCol w:w="2229"/>
      </w:tblGrid>
      <w:tr w14:paraId="4323A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7530F5A4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年份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B94CEB5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棉花</w:t>
            </w:r>
          </w:p>
          <w:p w14:paraId="6CAF04F2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出超(＋)或入超(－)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5B166B80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棉纱</w:t>
            </w:r>
          </w:p>
          <w:p w14:paraId="36E76655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出超(＋)或入超(－)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2315360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棉布</w:t>
            </w:r>
          </w:p>
          <w:p w14:paraId="5D8A5187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出超(＋)或入超(－)</w:t>
            </w:r>
          </w:p>
        </w:tc>
      </w:tr>
      <w:tr w14:paraId="41A13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69C10CB9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1873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6FFCF051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－106962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EA40E07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－41025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3DC1B46F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－24657643</w:t>
            </w:r>
          </w:p>
        </w:tc>
      </w:tr>
      <w:tr w14:paraId="7C630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6538CB8A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1883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5838C790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－114445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5E237A14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－137896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7EE5A6C3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－25103093</w:t>
            </w:r>
          </w:p>
        </w:tc>
      </w:tr>
      <w:tr w14:paraId="55035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20C3F6E7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1893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666A8E69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＋316146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3F6932BF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－593797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653FB704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－38714659</w:t>
            </w:r>
          </w:p>
        </w:tc>
      </w:tr>
      <w:tr w14:paraId="620A5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76201ED6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1903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4224235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＋423369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07DEEF0D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－1656186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62020E82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－91285172</w:t>
            </w:r>
          </w:p>
        </w:tc>
      </w:tr>
    </w:tbl>
    <w:p w14:paraId="02266447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A.清朝政府腐朽无能           B．民族工业初步发展</w:t>
      </w:r>
    </w:p>
    <w:p w14:paraId="1CAAE2EA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C．列强资本侵略加剧          D．晚清生产方式传统</w:t>
      </w:r>
    </w:p>
    <w:p w14:paraId="642E9942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6．徐州会战至武汉会战期间，毛泽东分析日军侵华战略时指出，对日本来说，这确实是一种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向上的变化，那就是他扩大了领土、人口和资源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，但是，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他占领中国的土地是暂时的。中国游击战争的猛烈发展，将使他的占领区实际上限制在狭小的地带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。毛泽东这种判断主要基于</w:t>
      </w:r>
    </w:p>
    <w:p w14:paraId="790E7591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A．抗日战争由战略防御转向战略相持    </w:t>
      </w:r>
    </w:p>
    <w:p w14:paraId="24760806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B．国共合作抗日民族统一战线的形成</w:t>
      </w:r>
    </w:p>
    <w:p w14:paraId="014DD34E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 xml:space="preserve">C．《论持久战》在国内外产生重大影响    </w:t>
      </w:r>
    </w:p>
    <w:p w14:paraId="18B26832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D．敌后战场的开辟牵制大量日军兵力</w:t>
      </w:r>
    </w:p>
    <w:p w14:paraId="2CEE1BA0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7．中国共</w:t>
      </w:r>
      <w:r>
        <w:rPr>
          <w:rFonts w:hint="eastAsia" w:ascii="Times New Roman" w:hAnsi="Times New Roman" w:eastAsia="宋体" w:cs="Times New Roman"/>
        </w:rPr>
        <w:t>产党的报刊命名高频用词反映了不同时代特征，下列高频用词符合解放战争时期的是</w:t>
      </w:r>
    </w:p>
    <w:p w14:paraId="7888898C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民主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人民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群众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新华</w:t>
      </w:r>
      <w:r>
        <w:rPr>
          <w:rFonts w:ascii="宋体" w:hAnsi="宋体" w:eastAsia="宋体" w:cs="Times New Roman"/>
        </w:rPr>
        <w:t>”</w:t>
      </w:r>
    </w:p>
    <w:p w14:paraId="06D7EA41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B．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青年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工人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妇女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少年</w:t>
      </w:r>
      <w:r>
        <w:rPr>
          <w:rFonts w:ascii="宋体" w:hAnsi="宋体" w:eastAsia="宋体" w:cs="Times New Roman"/>
        </w:rPr>
        <w:t>”</w:t>
      </w:r>
    </w:p>
    <w:p w14:paraId="5B17280D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红旗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红色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工人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青年</w:t>
      </w:r>
      <w:r>
        <w:rPr>
          <w:rFonts w:ascii="宋体" w:hAnsi="宋体" w:eastAsia="宋体" w:cs="Times New Roman"/>
        </w:rPr>
        <w:t>”</w:t>
      </w:r>
    </w:p>
    <w:p w14:paraId="5C7338D8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D．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救国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大众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群众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　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文艺</w:t>
      </w:r>
      <w:r>
        <w:rPr>
          <w:rFonts w:ascii="宋体" w:hAnsi="宋体" w:eastAsia="宋体" w:cs="Times New Roman"/>
        </w:rPr>
        <w:t>”</w:t>
      </w:r>
    </w:p>
    <w:p w14:paraId="712BF197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8．1954年宪法对建设社会主义总路线、如何进行社会主义改造及其步骤都做了规定。宪法在制定的时候就被确定为过渡性宪法，被作为推进建设社会主义的手段。这说明宪法</w:t>
      </w:r>
    </w:p>
    <w:p w14:paraId="588BB897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A．推动了中国社会的转型过渡    B．构建了新中国政治制度框架</w:t>
      </w:r>
    </w:p>
    <w:p w14:paraId="609AC569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C．宣告了社会主义法制的</w:t>
      </w:r>
      <w:r>
        <w:rPr>
          <w:rFonts w:hint="eastAsia" w:ascii="Times New Roman" w:hAnsi="Times New Roman" w:eastAsia="宋体" w:cs="Times New Roman"/>
        </w:rPr>
        <w:t>完善</w:t>
      </w:r>
      <w:r>
        <w:rPr>
          <w:rFonts w:ascii="Times New Roman" w:hAnsi="Times New Roman" w:eastAsia="宋体" w:cs="Times New Roman"/>
        </w:rPr>
        <w:t xml:space="preserve">    D．标志着社会主义改造的完成</w:t>
      </w:r>
    </w:p>
    <w:p w14:paraId="128647D5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9．图2是中国国家博物馆的一件特殊藏品，新中国第一家私营企业营业执照。颁发时间是1985年4月13日，颁发对象是大连市个体户姜维。这一藏品见证了</w:t>
      </w:r>
    </w:p>
    <w:p w14:paraId="13D235E3">
      <w:pPr>
        <w:pStyle w:val="2"/>
        <w:ind w:firstLine="420" w:firstLineChars="200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682750" cy="12979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9573" cy="1303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01FFA">
      <w:pPr>
        <w:pStyle w:val="2"/>
        <w:ind w:firstLine="420" w:firstLineChars="200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图2</w:t>
      </w:r>
    </w:p>
    <w:p w14:paraId="76B7D9C5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A．中国行政体制的伟大变革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B．中国经济体制的创新突破</w:t>
      </w:r>
    </w:p>
    <w:p w14:paraId="071638F2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C．农村改革开放的快速进展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D．国有企业竞争力逐步增强</w:t>
      </w:r>
    </w:p>
    <w:p w14:paraId="48AABFF7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10．1167年，亨利二世创建牛津大学，颁布特许状，为学生和学者提供了一定的法律保护。1254年</w:t>
      </w:r>
      <w:r>
        <w:rPr>
          <w:rFonts w:hint="eastAsia" w:ascii="Times New Roman" w:hAnsi="Times New Roman" w:eastAsia="宋体" w:cs="Times New Roman"/>
        </w:rPr>
        <w:t>，教皇授予牛津大学特许权，规定牛津大学教师和学生享有免税免役权，选举权、公共印章、普选官员，并依照章程实行内部自治的法人社团。这体现了中世纪欧洲大学</w:t>
      </w:r>
    </w:p>
    <w:p w14:paraId="7ED21315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是资本主义发展的结果         B．有相对独立的自治地位</w:t>
      </w:r>
    </w:p>
    <w:p w14:paraId="0BD80B20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C．受王权和神权双重压制         D．脱离了基督教会的影响</w:t>
      </w:r>
    </w:p>
    <w:p w14:paraId="503B5B80">
      <w:pPr>
        <w:pStyle w:val="2"/>
        <w:rPr>
          <w:rFonts w:ascii="Times New Roman" w:hAnsi="Times New Roman" w:eastAsia="宋体" w:cs="Times New Roman"/>
          <w:spacing w:val="-4"/>
        </w:rPr>
      </w:pPr>
      <w:r>
        <w:rPr>
          <w:rFonts w:ascii="Times New Roman" w:hAnsi="Times New Roman" w:eastAsia="宋体" w:cs="Times New Roman"/>
        </w:rPr>
        <w:t>11．</w:t>
      </w:r>
      <w:r>
        <w:rPr>
          <w:rFonts w:ascii="Times New Roman" w:hAnsi="Times New Roman" w:eastAsia="宋体" w:cs="Times New Roman"/>
          <w:spacing w:val="-4"/>
        </w:rPr>
        <w:t>图3是19世纪50年代不列颠公立学校男生女生学习课程情况。课程设置旨在</w:t>
      </w:r>
    </w:p>
    <w:p w14:paraId="6CB421C9">
      <w:pPr>
        <w:pStyle w:val="2"/>
        <w:ind w:firstLine="420" w:firstLineChars="200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946400" cy="1731010"/>
            <wp:effectExtent l="0" t="0" r="635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9552" cy="1733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2FD2F">
      <w:pPr>
        <w:pStyle w:val="2"/>
        <w:ind w:firstLine="420" w:firstLineChars="200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图3</w:t>
      </w:r>
    </w:p>
    <w:p w14:paraId="2859D780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A．服务社会发展需求            B．推动基础</w:t>
      </w:r>
      <w:r>
        <w:rPr>
          <w:rFonts w:hint="eastAsia" w:ascii="Times New Roman" w:hAnsi="Times New Roman" w:eastAsia="宋体" w:cs="Times New Roman"/>
        </w:rPr>
        <w:t>教育发展</w:t>
      </w:r>
    </w:p>
    <w:p w14:paraId="2AF8223C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提高女性职场竞争            D．转变传统家庭观念</w:t>
      </w:r>
    </w:p>
    <w:p w14:paraId="003EC5F6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12．拿破仑曾嘲笑英国是一个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小店主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的国家，但无论怎样封锁，都难以阻挡这个国家的产品涌入它要去的地方，甚至法国人身上穿的军服，也都是来自英帝国的棉纺织品。这反映了</w:t>
      </w:r>
    </w:p>
    <w:p w14:paraId="05255284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A．英国棉纺工场的发展          B．法国军事力量弱于英国</w:t>
      </w:r>
    </w:p>
    <w:p w14:paraId="0CB3CDB5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C．英法生产方式的差距          D．拿破仑战争失败必然性</w:t>
      </w:r>
    </w:p>
    <w:p w14:paraId="2B5631ED">
      <w:pPr>
        <w:pStyle w:val="2"/>
        <w:rPr>
          <w:rFonts w:ascii="Times New Roman" w:hAnsi="Times New Roman" w:eastAsia="宋体" w:cs="Times New Roman"/>
          <w:spacing w:val="-4"/>
        </w:rPr>
      </w:pPr>
      <w:r>
        <w:rPr>
          <w:rFonts w:ascii="Times New Roman" w:hAnsi="Times New Roman" w:eastAsia="宋体" w:cs="Times New Roman"/>
        </w:rPr>
        <w:t>13．</w:t>
      </w:r>
      <w:r>
        <w:rPr>
          <w:rFonts w:ascii="Times New Roman" w:hAnsi="Times New Roman" w:eastAsia="宋体" w:cs="Times New Roman"/>
          <w:spacing w:val="-4"/>
        </w:rPr>
        <w:t>斯塔夫里阿诺斯在《全球通史》中写道：现代社会主义之父马克思(1818－1883年)几乎在每个方面都根本不同于空想社会主义者。马克思用自己一生的大部分时间研究现存的资本</w:t>
      </w:r>
      <w:r>
        <w:rPr>
          <w:rFonts w:hint="eastAsia" w:ascii="Times New Roman" w:hAnsi="Times New Roman" w:eastAsia="宋体" w:cs="Times New Roman"/>
          <w:spacing w:val="-4"/>
        </w:rPr>
        <w:t>主义社会的历史发展和确切作用，空想社会主义者则制定模范社会的种种蓝图。马克思根据自己的历史研究坚信资本主义因阶级斗争而被推翻。两者</w:t>
      </w:r>
    </w:p>
    <w:p w14:paraId="08303037">
      <w:pPr>
        <w:pStyle w:val="2"/>
        <w:ind w:firstLine="420" w:firstLineChars="200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1846580" cy="1828800"/>
            <wp:effectExtent l="0" t="0" r="127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051" cy="1832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68AE2">
      <w:pPr>
        <w:pStyle w:val="2"/>
        <w:ind w:firstLine="420" w:firstLineChars="200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图4</w:t>
      </w:r>
    </w:p>
    <w:p w14:paraId="6C28C0B9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A．探索人类社会发展道路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B．总结资本主义发展规律</w:t>
      </w:r>
    </w:p>
    <w:p w14:paraId="004C2627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C．坚信无产阶级斗争学说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D．批判资本主义剥削罪恶</w:t>
      </w:r>
    </w:p>
    <w:p w14:paraId="302D46FE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14．右图为某一时期非洲联合国成员分布示意图。这一时期</w:t>
      </w:r>
    </w:p>
    <w:p w14:paraId="4046853F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A．非洲已实现民族独立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 B．国际政治新秩序建立</w:t>
      </w:r>
    </w:p>
    <w:p w14:paraId="02BE388A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C．世界殖民体系崩溃</w:t>
      </w:r>
      <w:r>
        <w:rPr>
          <w:rFonts w:hint="eastAsia" w:ascii="Times New Roman" w:hAnsi="Times New Roman" w:eastAsia="宋体" w:cs="Times New Roman"/>
        </w:rPr>
        <w:t xml:space="preserve"> </w:t>
      </w:r>
      <w:r>
        <w:rPr>
          <w:rFonts w:ascii="Times New Roman" w:hAnsi="Times New Roman" w:eastAsia="宋体" w:cs="Times New Roman"/>
        </w:rPr>
        <w:t xml:space="preserve">           D．两极格局受到冲</w:t>
      </w:r>
      <w:r>
        <w:rPr>
          <w:rFonts w:hint="eastAsia" w:ascii="Times New Roman" w:hAnsi="Times New Roman" w:eastAsia="宋体" w:cs="Times New Roman"/>
        </w:rPr>
        <w:t>击</w:t>
      </w:r>
    </w:p>
    <w:p w14:paraId="4967D19B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15</w:t>
      </w:r>
      <w:r>
        <w:rPr>
          <w:rFonts w:hint="eastAsia" w:ascii="Times New Roman" w:hAnsi="Times New Roman" w:eastAsia="宋体" w:cs="Times New Roman"/>
        </w:rPr>
        <w:t>．</w:t>
      </w:r>
      <w:r>
        <w:rPr>
          <w:rFonts w:ascii="Times New Roman" w:hAnsi="Times New Roman" w:eastAsia="宋体" w:cs="Times New Roman"/>
        </w:rPr>
        <w:t>图5是1950、1970年英、美、法、日等国家的经济数据表(单位：百万吨)。据此推断，甲、乙、丙、丁分别代表的国家是</w:t>
      </w:r>
    </w:p>
    <w:p w14:paraId="4350938C">
      <w:pPr>
        <w:pStyle w:val="2"/>
        <w:ind w:firstLine="420" w:firstLineChars="200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3599180" cy="1061720"/>
            <wp:effectExtent l="0" t="0" r="127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9688" cy="1062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5AF80">
      <w:pPr>
        <w:pStyle w:val="2"/>
        <w:ind w:firstLine="420" w:firstLineChars="200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图5</w:t>
      </w:r>
    </w:p>
    <w:p w14:paraId="4C30993A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A．英、日、美、法              B．美、法、日、英</w:t>
      </w:r>
    </w:p>
    <w:p w14:paraId="3814ED6F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C．英、法、美、日              D．美、法、英、日</w:t>
      </w:r>
    </w:p>
    <w:p w14:paraId="0564F33A">
      <w:pPr>
        <w:pStyle w:val="2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二、非选择题：共4小题，16题12分，17题13分，18题14分，19题16分，共55分。</w:t>
      </w:r>
    </w:p>
    <w:p w14:paraId="66002D88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16．(12分)阅读材料，回答问题。</w:t>
      </w:r>
    </w:p>
    <w:p w14:paraId="7C471791">
      <w:pPr>
        <w:pStyle w:val="2"/>
        <w:ind w:firstLine="422" w:firstLineChars="200"/>
        <w:jc w:val="center"/>
        <w:rPr>
          <w:rFonts w:ascii="宋体" w:hAnsi="宋体" w:eastAsia="宋体" w:cs="Times New Roman"/>
          <w:b/>
        </w:rPr>
      </w:pPr>
      <w:r>
        <w:rPr>
          <w:rFonts w:ascii="宋体" w:hAnsi="宋体" w:eastAsia="宋体" w:cs="Times New Roman"/>
          <w:b/>
        </w:rPr>
        <w:t>时代·</w:t>
      </w:r>
      <w:r>
        <w:rPr>
          <w:rFonts w:hint="eastAsia" w:ascii="宋体" w:hAnsi="宋体" w:eastAsia="宋体" w:cs="Times New Roman"/>
          <w:b/>
        </w:rPr>
        <w:t>镜像</w:t>
      </w:r>
    </w:p>
    <w:p w14:paraId="4322A8A1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黑体" w:hAnsi="黑体" w:eastAsia="黑体" w:cs="Times New Roman"/>
        </w:rPr>
        <w:t>材料一</w:t>
      </w:r>
      <w:r>
        <w:rPr>
          <w:rFonts w:ascii="Times New Roman" w:hAnsi="Times New Roman" w:eastAsia="宋体" w:cs="Times New Roman"/>
        </w:rPr>
        <w:t>　清朝官员致仕级别的规定</w:t>
      </w:r>
    </w:p>
    <w:p w14:paraId="7243AE7F">
      <w:pPr>
        <w:pStyle w:val="2"/>
        <w:ind w:firstLine="420" w:firstLineChars="200"/>
        <w:rPr>
          <w:rFonts w:ascii="楷体" w:hAnsi="楷体" w:eastAsia="楷体" w:cs="Times New Roman"/>
        </w:rPr>
      </w:pPr>
      <w:r>
        <w:rPr>
          <w:rFonts w:ascii="楷体" w:hAnsi="楷体" w:eastAsia="楷体" w:cs="Times New Roman"/>
        </w:rPr>
        <w:t>京官告病告休，三品以上者由本衙门具奏，奉旨后知照吏部。四五品以下者具呈本衙门咨明吏部，具由考功司移付稽勋司入于半月汇题。</w:t>
      </w:r>
    </w:p>
    <w:p w14:paraId="324200E7">
      <w:pPr>
        <w:pStyle w:val="2"/>
        <w:ind w:firstLine="420" w:firstLineChars="200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——[清]文孚纂修《钦定六部处分则例》</w:t>
      </w:r>
    </w:p>
    <w:p w14:paraId="7D4B5A2A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黑体" w:hAnsi="黑体" w:eastAsia="黑体" w:cs="Times New Roman"/>
        </w:rPr>
        <w:t>材料二</w:t>
      </w:r>
      <w:r>
        <w:rPr>
          <w:rFonts w:ascii="Times New Roman" w:hAnsi="Times New Roman" w:eastAsia="宋体" w:cs="Times New Roman"/>
        </w:rPr>
        <w:t>　清朝致仕待遇内容的规定</w:t>
      </w:r>
    </w:p>
    <w:p w14:paraId="1663FBBC">
      <w:pPr>
        <w:pStyle w:val="2"/>
        <w:ind w:firstLine="420" w:firstLineChars="200"/>
        <w:rPr>
          <w:rFonts w:ascii="楷体" w:hAnsi="楷体" w:eastAsia="楷体" w:cs="Times New Roman"/>
        </w:rPr>
      </w:pPr>
      <w:r>
        <w:rPr>
          <w:rFonts w:ascii="楷体" w:hAnsi="楷体" w:eastAsia="楷体" w:cs="Times New Roman"/>
        </w:rPr>
        <w:t>满汉大臣年老乞休者，朝廷待以殊礼，或升职加衔，或仍给原俸，或命驰驿还乡。其尤宠异者，或赐袍服文绮，或赐御制，或官其子孙，或遣人存问，或令地方利弊仍许</w:t>
      </w:r>
      <w:r>
        <w:rPr>
          <w:rFonts w:hint="eastAsia" w:ascii="楷体" w:hAnsi="楷体" w:eastAsia="楷体" w:cs="Times New Roman"/>
        </w:rPr>
        <w:t>具疏陈奏，皆出自特恩。</w:t>
      </w:r>
    </w:p>
    <w:p w14:paraId="066F30BA">
      <w:pPr>
        <w:pStyle w:val="2"/>
        <w:ind w:firstLine="420" w:firstLineChars="200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——李曙光《晚清职官法研究》</w:t>
      </w:r>
    </w:p>
    <w:p w14:paraId="117696D1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黑体" w:hAnsi="黑体" w:eastAsia="黑体" w:cs="Times New Roman"/>
        </w:rPr>
        <w:t>材料三</w:t>
      </w:r>
      <w:r>
        <w:rPr>
          <w:rFonts w:ascii="Times New Roman" w:hAnsi="Times New Roman" w:eastAsia="宋体" w:cs="Times New Roman"/>
        </w:rPr>
        <w:t>　清朝致仕待遇形式的规定</w:t>
      </w:r>
    </w:p>
    <w:p w14:paraId="61E974D9">
      <w:pPr>
        <w:pStyle w:val="2"/>
        <w:ind w:firstLine="420" w:firstLineChars="200"/>
        <w:rPr>
          <w:rFonts w:ascii="楷体" w:hAnsi="楷体" w:eastAsia="楷体" w:cs="Times New Roman"/>
        </w:rPr>
      </w:pPr>
      <w:r>
        <w:rPr>
          <w:rFonts w:ascii="楷体" w:hAnsi="楷体" w:eastAsia="楷体" w:cs="Times New Roman"/>
        </w:rPr>
        <w:t>清代自入关之初规定：“凡官员致仕者，督、抚、布、按、总兵各给园地三十六亩，道员、副将、参将各给园地二十四亩，府、州、县、游、守等官各给园地十八亩。”</w:t>
      </w:r>
    </w:p>
    <w:p w14:paraId="41A9593A">
      <w:pPr>
        <w:pStyle w:val="2"/>
        <w:ind w:firstLine="420" w:firstLineChars="200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——乾隆官修《清朝文献通考》</w:t>
      </w:r>
    </w:p>
    <w:p w14:paraId="12E75AD4">
      <w:pPr>
        <w:pStyle w:val="2"/>
        <w:ind w:firstLine="420" w:firstLineChars="200"/>
        <w:rPr>
          <w:rFonts w:ascii="楷体" w:hAnsi="楷体" w:eastAsia="楷体" w:cs="Times New Roman"/>
        </w:rPr>
      </w:pPr>
      <w:r>
        <w:rPr>
          <w:rFonts w:ascii="楷体" w:hAnsi="楷体" w:eastAsia="楷体" w:cs="Times New Roman"/>
        </w:rPr>
        <w:t>乾隆三年(1739)规定：“大学士、尚书内原品休致大臣，给食全俸，永为定例。……又遇京察自陈，部议(勒令)致仕人员，不必给食全俸禄。”</w:t>
      </w:r>
    </w:p>
    <w:p w14:paraId="680BF608">
      <w:pPr>
        <w:pStyle w:val="2"/>
        <w:ind w:firstLine="420" w:firstLineChars="200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——黄惠贤，陈锋《中国俸禄制度史》</w:t>
      </w:r>
    </w:p>
    <w:p w14:paraId="3AECD3E8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根据材料并结合所学，对材料所反映的清朝致仕制度进行合理解读。(12分)</w:t>
      </w:r>
    </w:p>
    <w:p w14:paraId="6AA850BA">
      <w:pPr>
        <w:pStyle w:val="2"/>
        <w:ind w:firstLine="420" w:firstLineChars="200"/>
        <w:rPr>
          <w:rFonts w:ascii="Times New Roman" w:hAnsi="Times New Roman" w:eastAsia="宋体" w:cs="Times New Roman"/>
        </w:rPr>
      </w:pPr>
    </w:p>
    <w:p w14:paraId="4FE2743A">
      <w:pPr>
        <w:pStyle w:val="2"/>
        <w:ind w:firstLine="420" w:firstLineChars="200"/>
        <w:rPr>
          <w:rFonts w:ascii="Times New Roman" w:hAnsi="Times New Roman" w:eastAsia="宋体" w:cs="Times New Roman"/>
        </w:rPr>
      </w:pPr>
    </w:p>
    <w:p w14:paraId="2F75BE4E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17．(13分)阅读材料，回答问题。</w:t>
      </w:r>
    </w:p>
    <w:p w14:paraId="25B80BE9">
      <w:pPr>
        <w:pStyle w:val="2"/>
        <w:ind w:firstLine="422" w:firstLineChars="200"/>
        <w:jc w:val="center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五四时期的</w:t>
      </w:r>
      <w:r>
        <w:rPr>
          <w:rFonts w:ascii="宋体" w:hAnsi="宋体" w:eastAsia="宋体" w:cs="Times New Roman"/>
          <w:b/>
        </w:rPr>
        <w:t>“</w:t>
      </w:r>
      <w:r>
        <w:rPr>
          <w:rFonts w:ascii="Times New Roman" w:hAnsi="Times New Roman" w:eastAsia="宋体" w:cs="Times New Roman"/>
          <w:b/>
        </w:rPr>
        <w:t>新文明形态</w:t>
      </w:r>
      <w:r>
        <w:rPr>
          <w:rFonts w:ascii="宋体" w:hAnsi="宋体" w:eastAsia="宋体" w:cs="Times New Roman"/>
          <w:b/>
        </w:rPr>
        <w:t>”</w:t>
      </w:r>
    </w:p>
    <w:p w14:paraId="55EAF118">
      <w:pPr>
        <w:pStyle w:val="2"/>
        <w:ind w:firstLine="420" w:firstLineChars="200"/>
        <w:rPr>
          <w:rFonts w:ascii="黑体" w:hAnsi="黑体" w:eastAsia="黑体" w:cs="Times New Roman"/>
        </w:rPr>
      </w:pPr>
      <w:r>
        <w:rPr>
          <w:rFonts w:ascii="黑体" w:hAnsi="黑体" w:eastAsia="黑体" w:cs="Times New Roman"/>
        </w:rPr>
        <w:t>材料</w:t>
      </w:r>
    </w:p>
    <w:tbl>
      <w:tblPr>
        <w:tblStyle w:val="5"/>
        <w:tblW w:w="75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6374"/>
      </w:tblGrid>
      <w:tr w14:paraId="6EE75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51B86AD">
            <w:pPr>
              <w:pStyle w:val="2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Times New Roman"/>
              </w:rPr>
              <w:t>东方文化派的新文明形态</w:t>
            </w:r>
          </w:p>
        </w:tc>
        <w:tc>
          <w:tcPr>
            <w:tcW w:w="6374" w:type="dxa"/>
            <w:shd w:val="clear" w:color="auto" w:fill="auto"/>
            <w:vAlign w:val="center"/>
          </w:tcPr>
          <w:p w14:paraId="3590C093">
            <w:pPr>
              <w:pStyle w:val="2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Times New Roman"/>
              </w:rPr>
              <w:t>梁启超重新发掘中国文明的“天下为公，世界大同”理想，高扬中国文明“心物调和”、“求理想与现实一致”的经典传统，主张融合中西文明</w:t>
            </w:r>
            <w:r>
              <w:rPr>
                <w:rFonts w:hint="eastAsia" w:ascii="楷体" w:hAnsi="楷体" w:eastAsia="楷体" w:cs="Times New Roman"/>
              </w:rPr>
              <w:t>以建构人类新文明，其“化合”“融合”思路对新文明建构具有启示意义，被论者誉为“以高瞻远瞩的世界眼光揭示了中国现代化的方向”。</w:t>
            </w:r>
          </w:p>
        </w:tc>
      </w:tr>
      <w:tr w14:paraId="768C6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FD48ED0">
            <w:pPr>
              <w:pStyle w:val="2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Times New Roman"/>
              </w:rPr>
              <w:t>马克思主义者的新文明形态</w:t>
            </w:r>
          </w:p>
        </w:tc>
        <w:tc>
          <w:tcPr>
            <w:tcW w:w="6374" w:type="dxa"/>
            <w:shd w:val="clear" w:color="auto" w:fill="auto"/>
            <w:vAlign w:val="center"/>
          </w:tcPr>
          <w:p w14:paraId="0200714F">
            <w:pPr>
              <w:pStyle w:val="2"/>
              <w:rPr>
                <w:rFonts w:ascii="楷体" w:hAnsi="楷体" w:eastAsia="楷体" w:cs="Times New Roman"/>
              </w:rPr>
            </w:pPr>
            <w:r>
              <w:rPr>
                <w:rFonts w:ascii="楷体" w:hAnsi="楷体" w:eastAsia="楷体" w:cs="Times New Roman"/>
              </w:rPr>
              <w:t>瞿秋白注重从经济、科技发展尤其是技术进步的视角分析文明。他指出，资本主义的“技术文明”或“科学文明”具有注重科学、反对权威专制、重视理智、逻辑等特点，但它仅仅将技术局限于物质层次，并不能“从残酷的自然之下解放人类”，反而造成了人与人之间关系的不平等、阶级分化及阶级斗争加剧等现象，其实质是“受治阶级正要夺取此文明以为利器而创造新文明”。</w:t>
            </w:r>
          </w:p>
        </w:tc>
      </w:tr>
    </w:tbl>
    <w:p w14:paraId="35778BC1">
      <w:pPr>
        <w:pStyle w:val="2"/>
        <w:ind w:firstLine="420" w:firstLineChars="200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图6</w:t>
      </w:r>
    </w:p>
    <w:p w14:paraId="5642F525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——冯夏根《五四时期中国知识界对中华民族现代文明的初始建构：动因、形态与路径》</w:t>
      </w:r>
    </w:p>
    <w:p w14:paraId="135FBA0C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(1)阅读材料，概括两种新文明形态的不同？(4分)</w:t>
      </w:r>
    </w:p>
    <w:p w14:paraId="3765887C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(2)依据材料，结合时代背景谈谈你对五四时期知识界新文明形态的认识。(9分)</w:t>
      </w:r>
    </w:p>
    <w:p w14:paraId="0B657B51">
      <w:pPr>
        <w:pStyle w:val="2"/>
        <w:rPr>
          <w:rFonts w:ascii="Times New Roman" w:hAnsi="Times New Roman" w:eastAsia="宋体" w:cs="Times New Roman"/>
        </w:rPr>
      </w:pPr>
    </w:p>
    <w:p w14:paraId="5000D518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18.(14分)阅读材料，完成下列要求。</w:t>
      </w:r>
    </w:p>
    <w:p w14:paraId="19477008">
      <w:pPr>
        <w:pStyle w:val="2"/>
        <w:ind w:firstLine="422" w:firstLineChars="200"/>
        <w:jc w:val="center"/>
        <w:rPr>
          <w:rFonts w:ascii="楷体" w:hAnsi="楷体" w:eastAsia="楷体" w:cs="Times New Roman"/>
          <w:b/>
        </w:rPr>
      </w:pPr>
      <w:r>
        <w:rPr>
          <w:rFonts w:ascii="楷体" w:hAnsi="楷体" w:eastAsia="楷体" w:cs="Times New Roman"/>
          <w:b/>
        </w:rPr>
        <w:t>口述史中的红星村</w:t>
      </w:r>
    </w:p>
    <w:p w14:paraId="673DE9DF">
      <w:pPr>
        <w:pStyle w:val="2"/>
        <w:ind w:firstLine="420" w:firstLineChars="200"/>
        <w:rPr>
          <w:rFonts w:ascii="楷体" w:hAnsi="楷体" w:eastAsia="楷体" w:cs="Times New Roman"/>
        </w:rPr>
      </w:pPr>
      <w:r>
        <w:rPr>
          <w:rFonts w:ascii="楷体" w:hAnsi="楷体" w:eastAsia="楷体" w:cs="Times New Roman"/>
        </w:rPr>
        <w:t>口述史是以搜集和使用口头史料来研究历史的一种方法。</w:t>
      </w:r>
    </w:p>
    <w:p w14:paraId="0E32F23A">
      <w:pPr>
        <w:pStyle w:val="2"/>
        <w:ind w:firstLine="420" w:firstLineChars="200"/>
        <w:rPr>
          <w:rFonts w:ascii="黑体" w:hAnsi="黑体" w:eastAsia="黑体" w:cs="Times New Roman"/>
        </w:rPr>
      </w:pPr>
      <w:r>
        <w:rPr>
          <w:rFonts w:ascii="黑体" w:hAnsi="黑体" w:eastAsia="黑体" w:cs="Times New Roman"/>
        </w:rPr>
        <w:t>材料一</w:t>
      </w:r>
    </w:p>
    <w:p w14:paraId="68C90D6B">
      <w:pPr>
        <w:pStyle w:val="2"/>
        <w:ind w:firstLine="420" w:firstLineChars="2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吴楚芳：(1952年)解放军工作组驻在村里，把田地分给农民。……田地是按人头分的，我们家分了四五亩田，劳动力包括我爸妈、我，还有两个弟弟。</w:t>
      </w:r>
    </w:p>
    <w:p w14:paraId="11AF46EF">
      <w:pPr>
        <w:pStyle w:val="2"/>
        <w:ind w:firstLine="420" w:firstLineChars="200"/>
        <w:rPr>
          <w:rFonts w:ascii="黑体" w:hAnsi="黑体" w:eastAsia="黑体" w:cs="Times New Roman"/>
        </w:rPr>
      </w:pPr>
      <w:r>
        <w:rPr>
          <w:rFonts w:ascii="黑体" w:hAnsi="黑体" w:eastAsia="黑体" w:cs="Times New Roman"/>
        </w:rPr>
        <w:t>材料二</w:t>
      </w:r>
    </w:p>
    <w:p w14:paraId="6714A8E2">
      <w:pPr>
        <w:pStyle w:val="2"/>
        <w:ind w:firstLine="420" w:firstLineChars="2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吴华发：1954—1955年龙塘村成立互助组，分3个互助组。互助组开始时，都是十家八家一组。……我家是1955年年尾入组的。……1956年年头就联组了，成立一个低级社，就是初级社。……后来又分成两个队了，太龙(人名)一个队，麦甲子(人名)一个队。</w:t>
      </w:r>
    </w:p>
    <w:p w14:paraId="1C0BFE04">
      <w:pPr>
        <w:pStyle w:val="2"/>
        <w:ind w:firstLine="420" w:firstLineChars="200"/>
        <w:rPr>
          <w:rFonts w:ascii="黑体" w:hAnsi="黑体" w:eastAsia="黑体" w:cs="Times New Roman"/>
        </w:rPr>
      </w:pPr>
      <w:r>
        <w:rPr>
          <w:rFonts w:ascii="黑体" w:hAnsi="黑体" w:eastAsia="黑体" w:cs="Times New Roman"/>
        </w:rPr>
        <w:t>材料三</w:t>
      </w:r>
    </w:p>
    <w:p w14:paraId="604AF603">
      <w:pPr>
        <w:pStyle w:val="2"/>
        <w:ind w:firstLine="420" w:firstLineChars="2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何沛良：1981年村里开始尝试分田到户。我们夫妻俩有8亩水田、5亩蔗地、1亩多花生地，每年要交2200斤左右的余粮。农闲的时候我还是会去做木工。</w:t>
      </w:r>
    </w:p>
    <w:p w14:paraId="5EEA939A">
      <w:pPr>
        <w:pStyle w:val="2"/>
        <w:ind w:firstLine="420" w:firstLineChars="200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——摘编自万向东主编《珠海红星村口述史》</w:t>
      </w:r>
    </w:p>
    <w:p w14:paraId="3A6EC8CB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提取材料信息，以</w:t>
      </w:r>
      <w:r>
        <w:rPr>
          <w:rFonts w:ascii="宋体" w:hAnsi="宋体" w:eastAsia="宋体" w:cs="Times New Roman"/>
        </w:rPr>
        <w:t>“</w:t>
      </w:r>
      <w:r>
        <w:rPr>
          <w:rFonts w:ascii="Times New Roman" w:hAnsi="Times New Roman" w:eastAsia="宋体" w:cs="Times New Roman"/>
        </w:rPr>
        <w:t>农村·变革</w:t>
      </w:r>
      <w:r>
        <w:rPr>
          <w:rFonts w:ascii="宋体" w:hAnsi="宋体" w:eastAsia="宋体" w:cs="Times New Roman"/>
        </w:rPr>
        <w:t>”</w:t>
      </w:r>
      <w:r>
        <w:rPr>
          <w:rFonts w:ascii="Times New Roman" w:hAnsi="Times New Roman" w:eastAsia="宋体" w:cs="Times New Roman"/>
        </w:rPr>
        <w:t>为题写一则历史短文。(14分)(要求：表述成文，叙述完整；立论正确，史论结合；逻辑严密，条理清晰。)</w:t>
      </w:r>
    </w:p>
    <w:p w14:paraId="16A4B592">
      <w:pPr>
        <w:pStyle w:val="2"/>
        <w:ind w:firstLine="420" w:firstLineChars="200"/>
        <w:rPr>
          <w:rFonts w:ascii="Times New Roman" w:hAnsi="Times New Roman" w:eastAsia="宋体" w:cs="Times New Roman"/>
        </w:rPr>
      </w:pPr>
    </w:p>
    <w:p w14:paraId="3CE9B765">
      <w:pPr>
        <w:pStyle w:val="2"/>
        <w:ind w:firstLine="420" w:firstLineChars="200"/>
        <w:rPr>
          <w:rFonts w:ascii="Times New Roman" w:hAnsi="Times New Roman" w:eastAsia="宋体" w:cs="Times New Roman"/>
        </w:rPr>
      </w:pPr>
    </w:p>
    <w:p w14:paraId="74BBE915">
      <w:pPr>
        <w:pStyle w:val="2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19．(16分)阅读材料，回答问题。</w:t>
      </w:r>
    </w:p>
    <w:p w14:paraId="7428224B">
      <w:pPr>
        <w:pStyle w:val="2"/>
        <w:ind w:firstLine="422" w:firstLineChars="200"/>
        <w:jc w:val="center"/>
        <w:rPr>
          <w:rFonts w:ascii="楷体" w:hAnsi="楷体" w:eastAsia="楷体" w:cs="Times New Roman"/>
          <w:b/>
        </w:rPr>
      </w:pPr>
      <w:r>
        <w:rPr>
          <w:rFonts w:ascii="楷体" w:hAnsi="楷体" w:eastAsia="楷体" w:cs="Times New Roman"/>
          <w:b/>
        </w:rPr>
        <w:t>英美博弈</w:t>
      </w:r>
    </w:p>
    <w:p w14:paraId="12858E9F">
      <w:pPr>
        <w:pStyle w:val="2"/>
        <w:ind w:firstLine="420" w:firstLineChars="200"/>
        <w:rPr>
          <w:rFonts w:ascii="黑体" w:hAnsi="黑体" w:eastAsia="黑体" w:cs="Times New Roman"/>
        </w:rPr>
      </w:pPr>
      <w:r>
        <w:rPr>
          <w:rFonts w:ascii="黑体" w:hAnsi="黑体" w:eastAsia="黑体" w:cs="Times New Roman"/>
        </w:rPr>
        <w:t>材料一</w:t>
      </w:r>
    </w:p>
    <w:tbl>
      <w:tblPr>
        <w:tblStyle w:val="5"/>
        <w:tblW w:w="75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5794"/>
      </w:tblGrid>
      <w:tr w14:paraId="15EF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9" w:type="dxa"/>
            <w:shd w:val="clear" w:color="auto" w:fill="auto"/>
            <w:vAlign w:val="center"/>
          </w:tcPr>
          <w:p w14:paraId="63F450C5">
            <w:pPr>
              <w:pStyle w:val="2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时间</w:t>
            </w:r>
          </w:p>
        </w:tc>
        <w:tc>
          <w:tcPr>
            <w:tcW w:w="5794" w:type="dxa"/>
            <w:shd w:val="clear" w:color="auto" w:fill="auto"/>
            <w:vAlign w:val="center"/>
          </w:tcPr>
          <w:p w14:paraId="40C086DA">
            <w:pPr>
              <w:pStyle w:val="2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事　件</w:t>
            </w:r>
          </w:p>
        </w:tc>
      </w:tr>
      <w:tr w14:paraId="70542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9" w:type="dxa"/>
            <w:shd w:val="clear" w:color="auto" w:fill="auto"/>
            <w:vAlign w:val="center"/>
          </w:tcPr>
          <w:p w14:paraId="4E0155B1">
            <w:pPr>
              <w:pStyle w:val="2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1812—1815年</w:t>
            </w:r>
          </w:p>
        </w:tc>
        <w:tc>
          <w:tcPr>
            <w:tcW w:w="5794" w:type="dxa"/>
            <w:shd w:val="clear" w:color="auto" w:fill="auto"/>
            <w:vAlign w:val="center"/>
          </w:tcPr>
          <w:p w14:paraId="5855C23A">
            <w:pPr>
              <w:pStyle w:val="2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由于英国海上限制、美国的贸易封锁，第二次英美战争爆发。英军攻入华盛顿，烧毁白宫，双方签署了《根特和约》</w:t>
            </w:r>
          </w:p>
        </w:tc>
      </w:tr>
      <w:tr w14:paraId="13FDC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9" w:type="dxa"/>
            <w:shd w:val="clear" w:color="auto" w:fill="auto"/>
            <w:vAlign w:val="center"/>
          </w:tcPr>
          <w:p w14:paraId="6C1DED39">
            <w:pPr>
              <w:pStyle w:val="2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1862年</w:t>
            </w:r>
          </w:p>
        </w:tc>
        <w:tc>
          <w:tcPr>
            <w:tcW w:w="5794" w:type="dxa"/>
            <w:shd w:val="clear" w:color="auto" w:fill="auto"/>
            <w:vAlign w:val="center"/>
          </w:tcPr>
          <w:p w14:paraId="6AD4FE4E">
            <w:pPr>
              <w:pStyle w:val="2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英国干涉美国内战，支持南方，企图分裂联邦。北方最终胜利，粉碎了英国进一步介入内战。</w:t>
            </w:r>
          </w:p>
        </w:tc>
      </w:tr>
      <w:tr w14:paraId="0CE72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9" w:type="dxa"/>
            <w:shd w:val="clear" w:color="auto" w:fill="auto"/>
            <w:vAlign w:val="center"/>
          </w:tcPr>
          <w:p w14:paraId="064243A4">
            <w:pPr>
              <w:pStyle w:val="2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1899年</w:t>
            </w:r>
          </w:p>
        </w:tc>
        <w:tc>
          <w:tcPr>
            <w:tcW w:w="5794" w:type="dxa"/>
            <w:shd w:val="clear" w:color="auto" w:fill="auto"/>
            <w:vAlign w:val="center"/>
          </w:tcPr>
          <w:p w14:paraId="321C7BEA">
            <w:pPr>
              <w:pStyle w:val="2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eastAsia="楷体" w:cs="Times New Roman"/>
              </w:rPr>
              <w:t>英美关于委内瑞拉边界的争端和平解决，英国作出让步，“合作与互利愈来愈成为华盛顿与伦敦之间的关系特征”。</w:t>
            </w:r>
          </w:p>
        </w:tc>
      </w:tr>
    </w:tbl>
    <w:p w14:paraId="0C8D2CD2">
      <w:pPr>
        <w:pStyle w:val="2"/>
        <w:ind w:firstLine="420" w:firstLineChars="200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图7　19世纪美国和英国在北美地区的部分冲突事件。</w:t>
      </w:r>
    </w:p>
    <w:p w14:paraId="2D333950">
      <w:pPr>
        <w:pStyle w:val="2"/>
        <w:ind w:firstLine="420" w:firstLineChars="200"/>
        <w:jc w:val="right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——</w:t>
      </w:r>
      <w:r>
        <w:rPr>
          <w:rFonts w:ascii="Times New Roman" w:hAnsi="Times New Roman" w:eastAsia="宋体" w:cs="Times New Roman"/>
        </w:rPr>
        <w:t>整理自王绳祖主编《国际关系史》</w:t>
      </w:r>
    </w:p>
    <w:p w14:paraId="4D0EE2F1">
      <w:pPr>
        <w:pStyle w:val="2"/>
        <w:ind w:firstLine="420" w:firstLineChars="200"/>
        <w:rPr>
          <w:rFonts w:ascii="黑体" w:hAnsi="黑体" w:eastAsia="黑体" w:cs="Times New Roman"/>
        </w:rPr>
      </w:pPr>
      <w:r>
        <w:rPr>
          <w:rFonts w:ascii="黑体" w:hAnsi="黑体" w:eastAsia="黑体" w:cs="Times New Roman"/>
        </w:rPr>
        <w:t>材料二</w:t>
      </w:r>
    </w:p>
    <w:p w14:paraId="4B0F3A5F">
      <w:pPr>
        <w:pStyle w:val="2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表2</w:t>
      </w:r>
    </w:p>
    <w:tbl>
      <w:tblPr>
        <w:tblStyle w:val="5"/>
        <w:tblW w:w="8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65"/>
        <w:gridCol w:w="1721"/>
        <w:gridCol w:w="1842"/>
        <w:gridCol w:w="1701"/>
      </w:tblGrid>
      <w:tr w14:paraId="7F59F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Merge w:val="restart"/>
            <w:shd w:val="clear" w:color="auto" w:fill="auto"/>
            <w:vAlign w:val="center"/>
          </w:tcPr>
          <w:p w14:paraId="0FC281A3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年度</w:t>
            </w:r>
          </w:p>
        </w:tc>
        <w:tc>
          <w:tcPr>
            <w:tcW w:w="3686" w:type="dxa"/>
            <w:gridSpan w:val="2"/>
            <w:shd w:val="clear" w:color="auto" w:fill="auto"/>
            <w:vAlign w:val="center"/>
          </w:tcPr>
          <w:p w14:paraId="4A85EA44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英对美进出口贸易额占比(单位：%)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14:paraId="687F8C3F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美对英进出口贸易额占比(单位：%)</w:t>
            </w:r>
          </w:p>
        </w:tc>
      </w:tr>
      <w:tr w14:paraId="0949E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Merge w:val="continue"/>
            <w:shd w:val="clear" w:color="auto" w:fill="auto"/>
            <w:vAlign w:val="center"/>
          </w:tcPr>
          <w:p w14:paraId="5E34D3B0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EF312BA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占英国总出口额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7713B71F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占英国总进口额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26C5EBB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占美国总出口额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C66A7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占美国总进口额</w:t>
            </w:r>
          </w:p>
        </w:tc>
      </w:tr>
      <w:tr w14:paraId="2CB0F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59BFC2C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1860年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F743DCE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16.2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001E0BE0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21.3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F1FB02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49.4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009C93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38.3</w:t>
            </w:r>
          </w:p>
        </w:tc>
      </w:tr>
      <w:tr w14:paraId="6BBAF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18CE8B5D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1890年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4D3FC44B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12.1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66209158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23.0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9A7E0EE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50.2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297990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23.0</w:t>
            </w:r>
          </w:p>
        </w:tc>
      </w:tr>
      <w:tr w14:paraId="108A7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shd w:val="clear" w:color="auto" w:fill="auto"/>
            <w:vAlign w:val="center"/>
          </w:tcPr>
          <w:p w14:paraId="7AF19AE2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1910年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57112AF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7.2</w:t>
            </w:r>
          </w:p>
        </w:tc>
        <w:tc>
          <w:tcPr>
            <w:tcW w:w="1721" w:type="dxa"/>
            <w:shd w:val="clear" w:color="auto" w:fill="auto"/>
            <w:vAlign w:val="center"/>
          </w:tcPr>
          <w:p w14:paraId="50F5C723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17.4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81E0D0F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28.1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CABC9F">
            <w:pPr>
              <w:pStyle w:val="2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17.0</w:t>
            </w:r>
          </w:p>
        </w:tc>
      </w:tr>
    </w:tbl>
    <w:p w14:paraId="5B8CA539">
      <w:pPr>
        <w:pStyle w:val="2"/>
        <w:ind w:firstLine="420" w:firstLineChars="200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——整理自黄正柏、梁军《从冲突到和解——近代英美关系考察》</w:t>
      </w:r>
    </w:p>
    <w:p w14:paraId="32EAE7D6">
      <w:pPr>
        <w:pStyle w:val="2"/>
        <w:ind w:firstLine="420" w:firstLineChars="200"/>
        <w:rPr>
          <w:rFonts w:ascii="黑体" w:hAnsi="黑体" w:eastAsia="黑体" w:cs="Times New Roman"/>
        </w:rPr>
      </w:pPr>
      <w:r>
        <w:rPr>
          <w:rFonts w:ascii="黑体" w:hAnsi="黑体" w:eastAsia="黑体" w:cs="Times New Roman"/>
        </w:rPr>
        <w:t>材料三</w:t>
      </w:r>
    </w:p>
    <w:p w14:paraId="4DBD39DA">
      <w:pPr>
        <w:pStyle w:val="2"/>
        <w:ind w:firstLine="420" w:firstLineChars="200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为了防止技术外泄，英国颁布《航海条例》，规定航船所载移民数量，严禁纺织业主和熟练工人移民美洲，后来进一步拓展到禁止钢铁业和煤业工人离岸。1803年，英国议会通过《旅客法》，进一步阻止工匠和产业工人移居美国。</w:t>
      </w:r>
    </w:p>
    <w:p w14:paraId="078D7159">
      <w:pPr>
        <w:pStyle w:val="2"/>
        <w:ind w:firstLine="420" w:firstLineChars="200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——摘编自钱乘旦《英</w:t>
      </w:r>
      <w:r>
        <w:rPr>
          <w:rFonts w:hint="eastAsia" w:ascii="Times New Roman" w:hAnsi="Times New Roman" w:eastAsia="宋体" w:cs="Times New Roman"/>
        </w:rPr>
        <w:t>国通史》</w:t>
      </w:r>
    </w:p>
    <w:p w14:paraId="1E6E79F9">
      <w:pPr>
        <w:pStyle w:val="2"/>
        <w:ind w:firstLine="420" w:firstLineChars="200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2520315" cy="1562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696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5E883">
      <w:pPr>
        <w:pStyle w:val="2"/>
        <w:ind w:firstLine="420" w:firstLineChars="200"/>
        <w:jc w:val="righ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——杨中楷《近代世界专利中心转移的历史考察》</w:t>
      </w:r>
    </w:p>
    <w:p w14:paraId="56509137">
      <w:pPr>
        <w:pStyle w:val="2"/>
        <w:ind w:firstLine="420" w:firstLineChars="200"/>
        <w:jc w:val="center"/>
        <w:rPr>
          <w:rFonts w:ascii="Times New Roman" w:hAnsi="Times New Roman" w:eastAsia="楷体" w:cs="Times New Roman"/>
        </w:rPr>
      </w:pPr>
      <w:r>
        <w:rPr>
          <w:rFonts w:ascii="Times New Roman" w:hAnsi="Times New Roman" w:eastAsia="楷体" w:cs="Times New Roman"/>
        </w:rPr>
        <w:t>图8</w:t>
      </w:r>
    </w:p>
    <w:p w14:paraId="170AF1B9">
      <w:pPr>
        <w:pStyle w:val="2"/>
        <w:ind w:firstLine="420" w:firstLineChars="200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概括19世纪的英美关系的变化，分析说明变化的原因。</w:t>
      </w:r>
    </w:p>
    <w:p w14:paraId="0F20EC44">
      <w:pPr>
        <w:pStyle w:val="2"/>
        <w:ind w:firstLine="420" w:firstLineChars="200"/>
        <w:rPr>
          <w:rFonts w:ascii="Times New Roman" w:hAnsi="Times New Roman" w:eastAsia="宋体" w:cs="Times New Roman"/>
        </w:rPr>
      </w:pPr>
      <w:bookmarkStart w:id="0" w:name="_GoBack"/>
      <w:bookmarkEnd w:id="0"/>
    </w:p>
    <w:sectPr>
      <w:headerReference r:id="rId3" w:type="default"/>
      <w:footerReference r:id="rId4" w:type="default"/>
      <w:type w:val="continuous"/>
      <w:pgSz w:w="10433" w:h="14742"/>
      <w:pgMar w:top="907" w:right="1517" w:bottom="907" w:left="151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89964222"/>
      <w:docPartObj>
        <w:docPartGallery w:val="AutoText"/>
      </w:docPartObj>
    </w:sdtPr>
    <w:sdtContent>
      <w:p w14:paraId="1C1B4008">
        <w:pPr>
          <w:pStyle w:val="3"/>
          <w:jc w:val="center"/>
        </w:pPr>
        <w:r>
          <w:rPr>
            <w:rFonts w:ascii="Times New Roman" w:hAnsi="Times New Roman" w:eastAsia="宋体" w:cs="Times New Roman"/>
          </w:rPr>
          <w:t>高三历史试题　第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  <w:r>
          <w:rPr>
            <w:rFonts w:ascii="Times New Roman" w:hAnsi="Times New Roman" w:eastAsia="宋体" w:cs="Times New Roman"/>
          </w:rPr>
          <w:t>页　(共6页)</w:t>
        </w:r>
      </w:p>
    </w:sdtContent>
  </w:sdt>
  <w:p w14:paraId="560BB67B">
    <w:pPr>
      <w:pStyle w:val="3"/>
    </w:pPr>
  </w:p>
  <w:p w14:paraId="4B2D2AEF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91D60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B75"/>
    <w:rsid w:val="000D5881"/>
    <w:rsid w:val="001176E2"/>
    <w:rsid w:val="00135C83"/>
    <w:rsid w:val="00175B40"/>
    <w:rsid w:val="001A1898"/>
    <w:rsid w:val="001A6723"/>
    <w:rsid w:val="001B1DD9"/>
    <w:rsid w:val="00252B75"/>
    <w:rsid w:val="00252FFC"/>
    <w:rsid w:val="002A7E60"/>
    <w:rsid w:val="002C23CD"/>
    <w:rsid w:val="002C2FF9"/>
    <w:rsid w:val="002C5CF0"/>
    <w:rsid w:val="002E6AE8"/>
    <w:rsid w:val="0033024E"/>
    <w:rsid w:val="00340BEC"/>
    <w:rsid w:val="003B67BC"/>
    <w:rsid w:val="00411698"/>
    <w:rsid w:val="004151FC"/>
    <w:rsid w:val="004A43D8"/>
    <w:rsid w:val="005565A3"/>
    <w:rsid w:val="005D5BCC"/>
    <w:rsid w:val="006844C0"/>
    <w:rsid w:val="006D5A0D"/>
    <w:rsid w:val="006E4EDF"/>
    <w:rsid w:val="00732B9B"/>
    <w:rsid w:val="00746130"/>
    <w:rsid w:val="00753679"/>
    <w:rsid w:val="0078427C"/>
    <w:rsid w:val="00791019"/>
    <w:rsid w:val="007E4808"/>
    <w:rsid w:val="008268BD"/>
    <w:rsid w:val="00874B86"/>
    <w:rsid w:val="008B5D0B"/>
    <w:rsid w:val="008B77A1"/>
    <w:rsid w:val="008D2158"/>
    <w:rsid w:val="00945CD4"/>
    <w:rsid w:val="0097441A"/>
    <w:rsid w:val="009867E7"/>
    <w:rsid w:val="009C78E4"/>
    <w:rsid w:val="00A328A0"/>
    <w:rsid w:val="00A46B9F"/>
    <w:rsid w:val="00A61CEE"/>
    <w:rsid w:val="00C02FC6"/>
    <w:rsid w:val="00C13AF5"/>
    <w:rsid w:val="00C55567"/>
    <w:rsid w:val="00CB0FD8"/>
    <w:rsid w:val="00CC3B88"/>
    <w:rsid w:val="00D02138"/>
    <w:rsid w:val="00D063B8"/>
    <w:rsid w:val="00E21881"/>
    <w:rsid w:val="00E45E7F"/>
    <w:rsid w:val="00E75575"/>
    <w:rsid w:val="00EB1F44"/>
    <w:rsid w:val="00F46DBD"/>
    <w:rsid w:val="00FA68F3"/>
    <w:rsid w:val="21FA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nhideWhenUsed/>
    <w:uiPriority w:val="99"/>
    <w:rPr>
      <w:rFonts w:hAnsi="Courier New" w:cs="Courier New" w:asciiTheme="minorEastAsia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basedOn w:val="6"/>
    <w:link w:val="2"/>
    <w:uiPriority w:val="99"/>
    <w:rPr>
      <w:rFonts w:hAnsi="Courier New" w:cs="Courier New" w:asciiTheme="minorEastAsia"/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tiff"/><Relationship Id="rId8" Type="http://schemas.openxmlformats.org/officeDocument/2006/relationships/image" Target="media/image4.tiff"/><Relationship Id="rId7" Type="http://schemas.openxmlformats.org/officeDocument/2006/relationships/image" Target="media/image3.tiff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tiff"/><Relationship Id="rId10" Type="http://schemas.openxmlformats.org/officeDocument/2006/relationships/image" Target="media/image6.tif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4032</Words>
  <Characters>4315</Characters>
  <Lines>34</Lines>
  <Paragraphs>9</Paragraphs>
  <TotalTime>97</TotalTime>
  <ScaleCrop>false</ScaleCrop>
  <LinksUpToDate>false</LinksUpToDate>
  <CharactersWithSpaces>4644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2025-02-04T06:48:00Z</dcterms:created>
  <dc:creator>Administrator</dc:creator>
  <cp:lastModifiedBy>何京应</cp:lastModifiedBy>
  <dcterms:modified xsi:type="dcterms:W3CDTF">2025-03-11T07:19:53Z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2052-12.1.0.19770</vt:lpwstr>
  </property>
  <property fmtid="{D5CDD505-2E9C-101B-9397-08002B2CF9AE}" pid="4" name="ICV">
    <vt:lpwstr>1F54BEB2F2B849378583EF3B660A4547_12</vt:lpwstr>
  </property>
</Properties>
</file>